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B5" w:rsidRPr="00A128E8" w:rsidRDefault="006150B5" w:rsidP="00A613DB">
      <w:pPr>
        <w:jc w:val="center"/>
        <w:rPr>
          <w:rFonts w:cs="DilleniaUPC"/>
          <w:b/>
          <w:bCs/>
          <w:sz w:val="36"/>
          <w:szCs w:val="36"/>
        </w:rPr>
      </w:pPr>
      <w:r w:rsidRPr="00A128E8">
        <w:rPr>
          <w:rFonts w:cs="DilleniaUPC"/>
          <w:b/>
          <w:bCs/>
          <w:sz w:val="36"/>
          <w:szCs w:val="36"/>
          <w:cs/>
        </w:rPr>
        <w:t>มติ อ.ก.ตร.วินัย</w:t>
      </w:r>
    </w:p>
    <w:p w:rsidR="006150B5" w:rsidRPr="00A128E8" w:rsidRDefault="006150B5" w:rsidP="00A613DB">
      <w:pPr>
        <w:jc w:val="center"/>
        <w:rPr>
          <w:rFonts w:cs="DilleniaUPC"/>
          <w:b/>
          <w:bCs/>
          <w:sz w:val="36"/>
          <w:szCs w:val="36"/>
        </w:rPr>
      </w:pPr>
      <w:r w:rsidRPr="00A128E8">
        <w:rPr>
          <w:rFonts w:cs="DilleniaUPC"/>
          <w:b/>
          <w:bCs/>
          <w:sz w:val="36"/>
          <w:szCs w:val="36"/>
          <w:cs/>
        </w:rPr>
        <w:t>ครั้งที่ 27/2547</w:t>
      </w:r>
    </w:p>
    <w:p w:rsidR="006150B5" w:rsidRPr="00A128E8" w:rsidRDefault="006150B5" w:rsidP="00A613DB">
      <w:pPr>
        <w:jc w:val="center"/>
        <w:rPr>
          <w:rFonts w:cs="DilleniaUPC"/>
          <w:b/>
          <w:bCs/>
          <w:sz w:val="36"/>
          <w:szCs w:val="36"/>
        </w:rPr>
      </w:pPr>
      <w:r w:rsidRPr="00A128E8">
        <w:rPr>
          <w:rFonts w:cs="DilleniaUPC"/>
          <w:b/>
          <w:bCs/>
          <w:sz w:val="36"/>
          <w:szCs w:val="36"/>
          <w:cs/>
        </w:rPr>
        <w:t>เมื่อวันที่  30  กันยายน  2547</w:t>
      </w:r>
    </w:p>
    <w:p w:rsidR="006150B5" w:rsidRDefault="006150B5" w:rsidP="00A613DB">
      <w:pPr>
        <w:jc w:val="center"/>
        <w:rPr>
          <w:rFonts w:cs="DilleniaUPC"/>
          <w:sz w:val="34"/>
          <w:szCs w:val="34"/>
        </w:rPr>
      </w:pPr>
    </w:p>
    <w:p w:rsidR="006150B5" w:rsidRPr="00A87776" w:rsidRDefault="006150B5" w:rsidP="00A613DB">
      <w:pPr>
        <w:jc w:val="center"/>
        <w:rPr>
          <w:rFonts w:cs="DilleniaUPC"/>
          <w:b/>
          <w:bCs/>
          <w:sz w:val="34"/>
          <w:szCs w:val="34"/>
        </w:rPr>
      </w:pPr>
      <w:r w:rsidRPr="00A87776">
        <w:rPr>
          <w:rFonts w:cs="DilleniaUPC"/>
          <w:b/>
          <w:bCs/>
          <w:sz w:val="34"/>
          <w:szCs w:val="34"/>
          <w:cs/>
        </w:rPr>
        <w:t>..................................</w:t>
      </w:r>
    </w:p>
    <w:p w:rsidR="006150B5" w:rsidRDefault="006150B5" w:rsidP="00A613DB">
      <w:pPr>
        <w:rPr>
          <w:rFonts w:cs="DilleniaUPC"/>
          <w:sz w:val="34"/>
          <w:szCs w:val="34"/>
        </w:rPr>
      </w:pPr>
    </w:p>
    <w:p w:rsidR="006150B5" w:rsidRDefault="006150B5" w:rsidP="00A613DB">
      <w:pPr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  <w:r w:rsidRPr="00A128E8">
        <w:rPr>
          <w:rFonts w:cs="DilleniaUPC"/>
          <w:b/>
          <w:bCs/>
          <w:sz w:val="34"/>
          <w:szCs w:val="34"/>
          <w:cs/>
        </w:rPr>
        <w:t>เรื่อง</w:t>
      </w:r>
      <w:r>
        <w:rPr>
          <w:rFonts w:cs="DilleniaUPC"/>
          <w:sz w:val="34"/>
          <w:szCs w:val="34"/>
          <w:cs/>
        </w:rPr>
        <w:tab/>
        <w:t>พ.ร.บ.ตำรวจแห่งชาติ พ.ศ.2547  ไม่ได้บัญญัติเกี่ยวกับการดำเนินการทางวินัยแก่ผู้ถูกกล่าวหาที่ถึงแก่ความตาย</w:t>
      </w:r>
    </w:p>
    <w:p w:rsidR="006150B5" w:rsidRDefault="006150B5" w:rsidP="00A613DB">
      <w:pPr>
        <w:ind w:left="1440" w:hanging="144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  <w:r w:rsidRPr="00A128E8">
        <w:rPr>
          <w:rFonts w:cs="DilleniaUPC"/>
          <w:b/>
          <w:bCs/>
          <w:sz w:val="34"/>
          <w:szCs w:val="34"/>
          <w:cs/>
        </w:rPr>
        <w:t>ข้อเท็จจริง</w:t>
      </w:r>
      <w:r>
        <w:rPr>
          <w:rFonts w:cs="DilleniaUPC"/>
          <w:sz w:val="34"/>
          <w:szCs w:val="34"/>
          <w:cs/>
        </w:rPr>
        <w:tab/>
        <w:t>เจ้าหน้าที่หารือที่ประชุมว่า ตาม พ.ร.บ.ตำรวจแห่งชาติ พ.ศ.2547 ไม่ได้บัญญัติเกี่ยวกับการดำเนินการทางวินัยแก่ผู้ถูกกล่าวหาที่ถึงแก่ความตายไว้เหมือนกับ พ.ร.บ.ระเบียบข้าราชการพลเรือน พ.ศ.2535  มาตรา 106  หากผู้ถูกกล่าวหาถึงแก่ความตายระหว่างการสอบสวนหลังจากที่ พ.ร.บ.ตำรวจแห่งชาติ พ.ศ.2547 ใช้บังคับแล้วจะดำเนินการอย่างไร</w:t>
      </w:r>
    </w:p>
    <w:p w:rsidR="006150B5" w:rsidRDefault="006150B5" w:rsidP="00A613DB">
      <w:pPr>
        <w:ind w:left="1440" w:hanging="144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  <w:r w:rsidRPr="00A128E8">
        <w:rPr>
          <w:rFonts w:cs="DilleniaUPC"/>
          <w:b/>
          <w:bCs/>
          <w:sz w:val="34"/>
          <w:szCs w:val="34"/>
          <w:cs/>
        </w:rPr>
        <w:t>มติ อ.ก.ตร.วินัย</w:t>
      </w:r>
      <w:r>
        <w:rPr>
          <w:rFonts w:cs="DilleniaUPC"/>
          <w:sz w:val="34"/>
          <w:szCs w:val="34"/>
          <w:cs/>
        </w:rPr>
        <w:tab/>
        <w:t xml:space="preserve">ถึงแม้ พ.ร.บ.ตำรวจแห่งชาติ ไม่ได้บัญญัติไว้เช่นเดียวกับ พ.ร.บ.ระเบียบข้าราชการพลเรือน แต่กระบวนการสอบสวนทางวินัยตาม พ.ร.บ.ตำรวจแห่งชาติ ก็เพื่อที่จะพิสูจน์ความผิดและนำตัวผู้กระทำผิดมาลงโทษทางวินัยตามมาตรา 82 ซึ่งมี 7 สถานด้วยกัน  เมื่อผู้ถูกกล่าวหาถึงแก่ความตายไปแล้วก็ไม่สามารถที่จะลงโทษตามมาตรา 82 ได้ </w:t>
      </w:r>
      <w:r w:rsidRPr="00301103">
        <w:rPr>
          <w:rFonts w:cs="DilleniaUPC"/>
          <w:b/>
          <w:bCs/>
          <w:i/>
          <w:iCs/>
          <w:sz w:val="34"/>
          <w:szCs w:val="34"/>
          <w:cs/>
        </w:rPr>
        <w:t>กระบวนการสอบสวนทางวินัยก็ต้องยุติลง</w:t>
      </w:r>
      <w:r>
        <w:rPr>
          <w:rFonts w:cs="DilleniaUPC"/>
          <w:sz w:val="34"/>
          <w:szCs w:val="34"/>
          <w:cs/>
        </w:rPr>
        <w:t xml:space="preserve">  ส่วนเรื่องบำเหน็จบำนาญนั้นเป็นการดำเนินการตามพระราชบัญญัติอื่นไม่ใช่กระบวนการดำเนินการทางวินัยตาม พ.ร.บ.ตำรวจแห่งชาติ</w:t>
      </w: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Pr="00A128E8" w:rsidRDefault="006150B5" w:rsidP="00A613DB">
      <w:pPr>
        <w:ind w:left="2160" w:hanging="2160"/>
        <w:jc w:val="center"/>
        <w:rPr>
          <w:rFonts w:cs="DilleniaUPC"/>
          <w:b/>
          <w:bCs/>
          <w:sz w:val="34"/>
          <w:szCs w:val="34"/>
        </w:rPr>
      </w:pPr>
      <w:r w:rsidRPr="00A128E8">
        <w:rPr>
          <w:rFonts w:cs="DilleniaUPC"/>
          <w:b/>
          <w:bCs/>
          <w:sz w:val="34"/>
          <w:szCs w:val="34"/>
          <w:cs/>
        </w:rPr>
        <w:t>พระราชบัญญัติตำรวจแห่งชาติ</w:t>
      </w:r>
    </w:p>
    <w:p w:rsidR="006150B5" w:rsidRDefault="006150B5" w:rsidP="00A613DB">
      <w:pPr>
        <w:ind w:left="2160" w:hanging="2160"/>
        <w:jc w:val="center"/>
        <w:rPr>
          <w:rFonts w:cs="DilleniaUPC"/>
          <w:b/>
          <w:bCs/>
          <w:sz w:val="34"/>
          <w:szCs w:val="34"/>
        </w:rPr>
      </w:pPr>
      <w:r w:rsidRPr="00A128E8">
        <w:rPr>
          <w:rFonts w:cs="DilleniaUPC"/>
          <w:b/>
          <w:bCs/>
          <w:sz w:val="34"/>
          <w:szCs w:val="34"/>
          <w:cs/>
        </w:rPr>
        <w:t>พ.ศ.2547</w:t>
      </w:r>
    </w:p>
    <w:p w:rsidR="006150B5" w:rsidRDefault="006150B5" w:rsidP="00A613DB">
      <w:pPr>
        <w:ind w:left="2160" w:hanging="2160"/>
        <w:jc w:val="center"/>
        <w:rPr>
          <w:rFonts w:cs="DilleniaUPC"/>
          <w:b/>
          <w:bCs/>
          <w:sz w:val="34"/>
          <w:szCs w:val="34"/>
        </w:rPr>
      </w:pPr>
      <w:r>
        <w:rPr>
          <w:rFonts w:cs="DilleniaUPC"/>
          <w:b/>
          <w:bCs/>
          <w:sz w:val="34"/>
          <w:szCs w:val="34"/>
        </w:rPr>
        <w:t>…………</w:t>
      </w:r>
    </w:p>
    <w:p w:rsidR="006150B5" w:rsidRDefault="006150B5" w:rsidP="00A613DB">
      <w:pPr>
        <w:ind w:left="2160" w:hanging="2160"/>
        <w:jc w:val="center"/>
        <w:rPr>
          <w:rFonts w:cs="DilleniaUPC"/>
          <w:b/>
          <w:bCs/>
          <w:sz w:val="34"/>
          <w:szCs w:val="34"/>
        </w:rPr>
      </w:pPr>
    </w:p>
    <w:p w:rsidR="006150B5" w:rsidRDefault="006150B5" w:rsidP="00A613DB">
      <w:pPr>
        <w:ind w:left="2160" w:hanging="2160"/>
        <w:rPr>
          <w:rFonts w:cs="DilleniaUPC"/>
          <w:sz w:val="34"/>
          <w:szCs w:val="34"/>
        </w:rPr>
      </w:pP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  <w:r>
        <w:rPr>
          <w:rFonts w:cs="DilleniaUPC"/>
          <w:sz w:val="34"/>
          <w:szCs w:val="34"/>
          <w:cs/>
        </w:rPr>
        <w:t>มาตรา 94   ข้าราชการตำรวจผู้ใด</w:t>
      </w:r>
      <w:r w:rsidRPr="00301103">
        <w:rPr>
          <w:rFonts w:cs="DilleniaUPC"/>
          <w:b/>
          <w:bCs/>
          <w:i/>
          <w:iCs/>
          <w:sz w:val="34"/>
          <w:szCs w:val="34"/>
          <w:cs/>
        </w:rPr>
        <w:t>ถูกสอบสวนในกรณีกระทำความผิดวินัยอย่างร้ายแรง</w:t>
      </w:r>
      <w:r>
        <w:rPr>
          <w:rFonts w:cs="DilleniaUPC"/>
          <w:sz w:val="34"/>
          <w:szCs w:val="34"/>
          <w:cs/>
        </w:rPr>
        <w:t xml:space="preserve"> หรือมีกรณีที่ถูกชี้มูลความผิดตามกฎหมายประกอบรัฐธรรมนูญว่าด้วยการป้องกันและปราบปรามการทุจริตไว้แล้ว  แม้ต่อมาข้าราชการตำรวจผู้นั้นจะออกจาราชการไปแล้วก็ให้ทำการสอบสวนต่อไปได้ แต่ต้องดำเนินการสอบสวนให้แล้วเสร็จภายในหนึ่งปีนับแต่วันออกจากราชการ</w:t>
      </w: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  <w:r>
        <w:rPr>
          <w:rFonts w:cs="DilleniaUPC"/>
          <w:sz w:val="34"/>
          <w:szCs w:val="34"/>
          <w:cs/>
        </w:rPr>
        <w:t xml:space="preserve">               ..........................</w:t>
      </w: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  <w:r>
        <w:rPr>
          <w:rFonts w:cs="DilleniaUPC"/>
          <w:sz w:val="34"/>
          <w:szCs w:val="34"/>
          <w:cs/>
        </w:rPr>
        <w:t>มาตรา 97   ข้าราชการตำรวจออกจากราชการเมื่อ</w:t>
      </w: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  <w:r>
        <w:rPr>
          <w:rFonts w:cs="DilleniaUPC"/>
          <w:sz w:val="34"/>
          <w:szCs w:val="34"/>
          <w:cs/>
        </w:rPr>
        <w:t xml:space="preserve">     </w:t>
      </w:r>
      <w:r>
        <w:rPr>
          <w:rFonts w:cs="DilleniaUPC"/>
          <w:sz w:val="34"/>
          <w:szCs w:val="34"/>
          <w:cs/>
        </w:rPr>
        <w:tab/>
        <w:t>(1)  ตาย</w:t>
      </w: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  <w:r>
        <w:rPr>
          <w:rFonts w:cs="DilleniaUPC"/>
          <w:sz w:val="34"/>
          <w:szCs w:val="34"/>
          <w:cs/>
        </w:rPr>
        <w:t xml:space="preserve">     </w:t>
      </w:r>
      <w:r>
        <w:rPr>
          <w:rFonts w:cs="DilleniaUPC"/>
          <w:sz w:val="34"/>
          <w:szCs w:val="34"/>
          <w:cs/>
        </w:rPr>
        <w:tab/>
        <w:t>...........................</w:t>
      </w:r>
    </w:p>
    <w:p w:rsidR="006150B5" w:rsidRPr="00890BB5" w:rsidRDefault="006150B5" w:rsidP="00A613DB">
      <w:pPr>
        <w:autoSpaceDE w:val="0"/>
        <w:autoSpaceDN w:val="0"/>
        <w:adjustRightInd w:val="0"/>
        <w:jc w:val="center"/>
        <w:rPr>
          <w:rFonts w:ascii="EucrosiaUPCBold" w:cs="DilleniaUPC"/>
          <w:b/>
          <w:bCs/>
          <w:sz w:val="34"/>
          <w:szCs w:val="34"/>
        </w:rPr>
      </w:pPr>
      <w:r w:rsidRPr="00890BB5">
        <w:rPr>
          <w:rFonts w:cs="DilleniaUPC"/>
          <w:b/>
          <w:bCs/>
          <w:sz w:val="34"/>
          <w:szCs w:val="34"/>
          <w:cs/>
        </w:rPr>
        <w:t>พระราชบัญญัติ</w:t>
      </w: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Pr="00890BB5" w:rsidRDefault="006150B5" w:rsidP="00A613DB">
      <w:pPr>
        <w:autoSpaceDE w:val="0"/>
        <w:autoSpaceDN w:val="0"/>
        <w:adjustRightInd w:val="0"/>
        <w:jc w:val="center"/>
        <w:rPr>
          <w:rFonts w:ascii="EucrosiaUPCBold" w:cs="DilleniaUPC"/>
          <w:b/>
          <w:bCs/>
          <w:sz w:val="34"/>
          <w:szCs w:val="34"/>
        </w:rPr>
      </w:pPr>
      <w:r w:rsidRPr="00890BB5">
        <w:rPr>
          <w:rFonts w:cs="DilleniaUPC"/>
          <w:b/>
          <w:bCs/>
          <w:sz w:val="34"/>
          <w:szCs w:val="34"/>
          <w:cs/>
        </w:rPr>
        <w:t>บำเหน็จบำนาญข้าราชการ</w:t>
      </w:r>
    </w:p>
    <w:p w:rsidR="006150B5" w:rsidRPr="00890BB5" w:rsidRDefault="006150B5" w:rsidP="00A613DB">
      <w:pPr>
        <w:autoSpaceDE w:val="0"/>
        <w:autoSpaceDN w:val="0"/>
        <w:adjustRightInd w:val="0"/>
        <w:jc w:val="center"/>
        <w:rPr>
          <w:rFonts w:ascii="EucrosiaUPCBold" w:cs="DilleniaUPC"/>
          <w:b/>
          <w:bCs/>
          <w:sz w:val="34"/>
          <w:szCs w:val="34"/>
        </w:rPr>
      </w:pPr>
      <w:r w:rsidRPr="00890BB5">
        <w:rPr>
          <w:rFonts w:cs="DilleniaUPC"/>
          <w:b/>
          <w:bCs/>
          <w:sz w:val="34"/>
          <w:szCs w:val="34"/>
          <w:cs/>
        </w:rPr>
        <w:t>พ</w:t>
      </w:r>
      <w:r w:rsidRPr="00890BB5">
        <w:rPr>
          <w:rFonts w:ascii="EucrosiaUPCBold+1" w:hAnsi="EucrosiaUPCBold+1" w:cs="DilleniaUPC"/>
          <w:b/>
          <w:bCs/>
          <w:sz w:val="34"/>
          <w:szCs w:val="34"/>
        </w:rPr>
        <w:t>.</w:t>
      </w:r>
      <w:r w:rsidRPr="00890BB5">
        <w:rPr>
          <w:rFonts w:cs="DilleniaUPC"/>
          <w:b/>
          <w:bCs/>
          <w:sz w:val="34"/>
          <w:szCs w:val="34"/>
          <w:cs/>
        </w:rPr>
        <w:t>ศ</w:t>
      </w:r>
      <w:r w:rsidRPr="00890BB5">
        <w:rPr>
          <w:rFonts w:ascii="EucrosiaUPCBold+1" w:hAnsi="EucrosiaUPCBold+1" w:cs="DilleniaUPC"/>
          <w:b/>
          <w:bCs/>
          <w:sz w:val="34"/>
          <w:szCs w:val="34"/>
        </w:rPr>
        <w:t xml:space="preserve">. </w:t>
      </w:r>
      <w:r>
        <w:rPr>
          <w:rFonts w:cs="DilleniaUPC"/>
          <w:b/>
          <w:bCs/>
          <w:sz w:val="34"/>
          <w:szCs w:val="34"/>
          <w:cs/>
        </w:rPr>
        <w:t>2494</w:t>
      </w:r>
    </w:p>
    <w:p w:rsidR="006150B5" w:rsidRPr="00890BB5" w:rsidRDefault="006150B5" w:rsidP="00A613DB">
      <w:pPr>
        <w:autoSpaceDE w:val="0"/>
        <w:autoSpaceDN w:val="0"/>
        <w:adjustRightInd w:val="0"/>
        <w:jc w:val="center"/>
        <w:rPr>
          <w:rFonts w:ascii="EucrosiaUPCBold+1" w:hAnsi="EucrosiaUPCBold+1" w:cs="DilleniaUPC"/>
          <w:b/>
          <w:bCs/>
          <w:sz w:val="34"/>
          <w:szCs w:val="34"/>
        </w:rPr>
      </w:pPr>
      <w:r>
        <w:rPr>
          <w:rFonts w:ascii="EucrosiaUPCBold+1" w:hAnsi="EucrosiaUPCBold+1" w:cs="DilleniaUPC"/>
          <w:b/>
          <w:bCs/>
          <w:sz w:val="34"/>
          <w:szCs w:val="34"/>
        </w:rPr>
        <w:t>………….</w:t>
      </w:r>
    </w:p>
    <w:p w:rsidR="006150B5" w:rsidRPr="00890B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</w:p>
    <w:p w:rsidR="006150B5" w:rsidRPr="00890B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  <w:r w:rsidRPr="00890BB5">
        <w:rPr>
          <w:rFonts w:cs="DilleniaUPC"/>
          <w:sz w:val="34"/>
          <w:szCs w:val="34"/>
          <w:cs/>
        </w:rPr>
        <w:t>มาตรา</w:t>
      </w:r>
      <w:r w:rsidRPr="00890BB5">
        <w:rPr>
          <w:rFonts w:ascii="EucrosiaUPC" w:eastAsia="Times New Roman" w:cs="DilleniaUPC"/>
          <w:sz w:val="34"/>
          <w:szCs w:val="34"/>
        </w:rPr>
        <w:t xml:space="preserve"> </w:t>
      </w:r>
      <w:r>
        <w:rPr>
          <w:rFonts w:cs="DilleniaUPC"/>
          <w:sz w:val="34"/>
          <w:szCs w:val="34"/>
          <w:cs/>
        </w:rPr>
        <w:t xml:space="preserve">53  </w:t>
      </w:r>
      <w:r w:rsidRPr="00890BB5">
        <w:rPr>
          <w:rFonts w:ascii="EucrosiaUPC" w:eastAsia="Times New Roman" w:cs="DilleniaUPC"/>
          <w:sz w:val="34"/>
          <w:szCs w:val="34"/>
        </w:rPr>
        <w:t xml:space="preserve"> </w:t>
      </w:r>
      <w:r w:rsidRPr="00890BB5">
        <w:rPr>
          <w:rFonts w:cs="DilleniaUPC"/>
          <w:sz w:val="34"/>
          <w:szCs w:val="34"/>
          <w:cs/>
        </w:rPr>
        <w:t>ข้าราชการผู้ใดมีกรณีหรือต้องหาว่ากระทำผิดวินัยอย่างร้ายแรงถึงแก่ความตายก่อนได้รับการวินิจฉัยเรื่องที่กระทำผิดวินัยนั้นให้กระทรวงเจ้าสังกัดพิจารณาวินิจฉัยว่า</w:t>
      </w:r>
      <w:r w:rsidRPr="00890BB5">
        <w:rPr>
          <w:rFonts w:ascii="EucrosiaUPC" w:eastAsia="Times New Roman" w:cs="DilleniaUPC"/>
          <w:sz w:val="34"/>
          <w:szCs w:val="34"/>
        </w:rPr>
        <w:t xml:space="preserve"> </w:t>
      </w:r>
      <w:r w:rsidRPr="00301103">
        <w:rPr>
          <w:rFonts w:cs="DilleniaUPC"/>
          <w:b/>
          <w:bCs/>
          <w:i/>
          <w:iCs/>
          <w:sz w:val="34"/>
          <w:szCs w:val="34"/>
          <w:cs/>
        </w:rPr>
        <w:t>ถ้าผู้นั้นไม่ถึงแก่ความ</w:t>
      </w: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autoSpaceDE w:val="0"/>
        <w:autoSpaceDN w:val="0"/>
        <w:adjustRightInd w:val="0"/>
        <w:ind w:left="1080" w:hanging="1080"/>
        <w:jc w:val="thaiDistribute"/>
        <w:rPr>
          <w:rFonts w:cs="DilleniaUPC"/>
          <w:sz w:val="34"/>
          <w:szCs w:val="34"/>
        </w:rPr>
      </w:pPr>
      <w:r w:rsidRPr="00301103">
        <w:rPr>
          <w:rFonts w:cs="DilleniaUPC"/>
          <w:b/>
          <w:bCs/>
          <w:i/>
          <w:iCs/>
          <w:sz w:val="34"/>
          <w:szCs w:val="34"/>
          <w:cs/>
        </w:rPr>
        <w:t>ตายเสียก่อนจะต้องได้รับโทษถึงไล่ออกหรือปลดออกหรือไม่</w:t>
      </w:r>
      <w:r w:rsidRPr="00301103">
        <w:rPr>
          <w:rFonts w:ascii="EucrosiaUPC" w:eastAsia="Times New Roman" w:cs="DilleniaUPC"/>
          <w:b/>
          <w:bCs/>
          <w:i/>
          <w:iCs/>
          <w:sz w:val="34"/>
          <w:szCs w:val="34"/>
        </w:rPr>
        <w:t xml:space="preserve"> </w:t>
      </w:r>
      <w:r w:rsidRPr="00301103">
        <w:rPr>
          <w:rFonts w:cs="DilleniaUPC"/>
          <w:b/>
          <w:bCs/>
          <w:i/>
          <w:iCs/>
          <w:sz w:val="34"/>
          <w:szCs w:val="34"/>
          <w:cs/>
        </w:rPr>
        <w:t>ถ้าเห็นว่าผู้นั้นจะต้องถูกลงโทษถึงไล่ออกหรือปลดออก</w:t>
      </w:r>
      <w:r w:rsidRPr="00301103">
        <w:rPr>
          <w:rFonts w:ascii="EucrosiaUPC" w:eastAsia="Times New Roman" w:cs="DilleniaUPC"/>
          <w:b/>
          <w:bCs/>
          <w:i/>
          <w:iCs/>
          <w:sz w:val="34"/>
          <w:szCs w:val="34"/>
        </w:rPr>
        <w:t xml:space="preserve"> </w:t>
      </w:r>
      <w:r w:rsidRPr="00301103">
        <w:rPr>
          <w:rFonts w:cs="DilleniaUPC"/>
          <w:b/>
          <w:bCs/>
          <w:i/>
          <w:iCs/>
          <w:sz w:val="34"/>
          <w:szCs w:val="34"/>
          <w:cs/>
        </w:rPr>
        <w:t>ทายาทไม่มีสิทธิได้รับบำนาญ</w:t>
      </w:r>
      <w:r w:rsidRPr="00890BB5">
        <w:rPr>
          <w:rFonts w:cs="DilleniaUPC"/>
          <w:sz w:val="34"/>
          <w:szCs w:val="34"/>
          <w:cs/>
        </w:rPr>
        <w:t>ตามมาตรา</w:t>
      </w:r>
      <w:r w:rsidRPr="00890BB5">
        <w:rPr>
          <w:rFonts w:ascii="EucrosiaUPC" w:eastAsia="Times New Roman" w:cs="DilleniaUPC"/>
          <w:sz w:val="34"/>
          <w:szCs w:val="34"/>
        </w:rPr>
        <w:t xml:space="preserve"> </w:t>
      </w:r>
      <w:r>
        <w:rPr>
          <w:rFonts w:cs="DilleniaUPC"/>
          <w:sz w:val="34"/>
          <w:szCs w:val="34"/>
          <w:cs/>
        </w:rPr>
        <w:t>48</w:t>
      </w:r>
    </w:p>
    <w:p w:rsidR="006150B5" w:rsidRDefault="006150B5" w:rsidP="00A613DB">
      <w:pPr>
        <w:autoSpaceDE w:val="0"/>
        <w:autoSpaceDN w:val="0"/>
        <w:adjustRightInd w:val="0"/>
        <w:ind w:left="1080" w:hanging="1080"/>
        <w:jc w:val="thaiDistribute"/>
        <w:rPr>
          <w:rFonts w:cs="DilleniaUPC"/>
          <w:sz w:val="34"/>
          <w:szCs w:val="34"/>
        </w:rPr>
      </w:pPr>
      <w:r>
        <w:rPr>
          <w:rFonts w:cs="DilleniaUPC"/>
          <w:sz w:val="34"/>
          <w:szCs w:val="34"/>
          <w:cs/>
        </w:rPr>
        <w:t xml:space="preserve">               .........................</w:t>
      </w: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Pr="00890BB5" w:rsidRDefault="006150B5" w:rsidP="00A613DB">
      <w:pPr>
        <w:autoSpaceDE w:val="0"/>
        <w:autoSpaceDN w:val="0"/>
        <w:adjustRightInd w:val="0"/>
        <w:ind w:left="1080" w:hanging="1080"/>
        <w:jc w:val="thaiDistribute"/>
        <w:rPr>
          <w:rFonts w:cs="DilleniaUPC"/>
          <w:sz w:val="34"/>
          <w:szCs w:val="34"/>
          <w: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2520"/>
        <w:gridCol w:w="3960"/>
      </w:tblGrid>
      <w:tr w:rsidR="006150B5" w:rsidRPr="002D4CD5" w:rsidTr="00F81DA4">
        <w:trPr>
          <w:trHeight w:val="1614"/>
        </w:trPr>
        <w:tc>
          <w:tcPr>
            <w:tcW w:w="3060" w:type="dxa"/>
            <w:vAlign w:val="bottom"/>
          </w:tcPr>
          <w:p w:rsidR="006150B5" w:rsidRPr="002D4CD5" w:rsidRDefault="006150B5" w:rsidP="00F81DA4">
            <w:pPr>
              <w:pStyle w:val="PlainText"/>
              <w:tabs>
                <w:tab w:val="left" w:pos="1800"/>
                <w:tab w:val="left" w:pos="2250"/>
                <w:tab w:val="left" w:pos="2880"/>
              </w:tabs>
              <w:jc w:val="thaiDistribute"/>
              <w:rPr>
                <w:rFonts w:ascii="Angsana New" w:hAnsi="Angsana New" w:cs="DilleniaUPC"/>
                <w:w w:val="90"/>
                <w:sz w:val="34"/>
                <w:szCs w:val="34"/>
                <w:cs/>
              </w:rPr>
            </w:pPr>
            <w:r w:rsidRPr="002D4CD5">
              <w:rPr>
                <w:rFonts w:ascii="Angsana New" w:hAnsi="Angsana New" w:cs="DilleniaUPC"/>
                <w:w w:val="90"/>
                <w:sz w:val="34"/>
                <w:szCs w:val="34"/>
                <w:cs/>
              </w:rPr>
              <w:t>ที่</w:t>
            </w:r>
            <w:r w:rsidRPr="002D4CD5">
              <w:rPr>
                <w:rFonts w:ascii="Angsana New" w:hAnsi="Angsana New" w:cs="DilleniaUPC"/>
                <w:w w:val="90"/>
                <w:sz w:val="34"/>
                <w:szCs w:val="34"/>
              </w:rPr>
              <w:t xml:space="preserve">  </w:t>
            </w:r>
            <w:r w:rsidRPr="002D4CD5">
              <w:rPr>
                <w:rFonts w:ascii="Angsana New" w:hAnsi="Angsana New" w:cs="DilleniaUPC"/>
                <w:w w:val="90"/>
                <w:sz w:val="34"/>
                <w:szCs w:val="34"/>
                <w:cs/>
              </w:rPr>
              <w:t>กค</w:t>
            </w:r>
            <w:r w:rsidRPr="002D4CD5">
              <w:rPr>
                <w:rFonts w:ascii="Angsana New" w:hAnsi="Angsana New" w:cs="DilleniaUPC"/>
                <w:w w:val="90"/>
                <w:sz w:val="34"/>
                <w:szCs w:val="34"/>
              </w:rPr>
              <w:t xml:space="preserve">. </w:t>
            </w:r>
            <w:r>
              <w:rPr>
                <w:rFonts w:ascii="Angsana New" w:hAnsi="Angsana New" w:cs="DilleniaUPC"/>
                <w:w w:val="90"/>
                <w:sz w:val="34"/>
                <w:szCs w:val="34"/>
                <w:cs/>
              </w:rPr>
              <w:t>0504/14556</w:t>
            </w:r>
            <w:r w:rsidRPr="002D4CD5">
              <w:rPr>
                <w:rFonts w:ascii="Angsana New" w:hAnsi="Angsana New" w:cs="DilleniaUPC"/>
                <w:w w:val="90"/>
                <w:sz w:val="34"/>
                <w:szCs w:val="34"/>
              </w:rPr>
              <w:tab/>
            </w:r>
            <w:r w:rsidRPr="002D4CD5">
              <w:rPr>
                <w:rFonts w:ascii="Angsana New" w:hAnsi="Angsana New" w:cs="DilleniaUPC"/>
                <w:w w:val="90"/>
                <w:sz w:val="34"/>
                <w:szCs w:val="34"/>
              </w:rPr>
              <w:tab/>
            </w:r>
          </w:p>
        </w:tc>
        <w:tc>
          <w:tcPr>
            <w:tcW w:w="2520" w:type="dxa"/>
          </w:tcPr>
          <w:p w:rsidR="006150B5" w:rsidRPr="002D4CD5" w:rsidRDefault="006150B5" w:rsidP="00F81DA4">
            <w:pPr>
              <w:pStyle w:val="PlainText"/>
              <w:tabs>
                <w:tab w:val="left" w:pos="1800"/>
                <w:tab w:val="left" w:pos="2250"/>
                <w:tab w:val="left" w:pos="2880"/>
              </w:tabs>
              <w:jc w:val="center"/>
              <w:rPr>
                <w:rFonts w:ascii="Angsana New" w:hAnsi="Angsana New" w:cs="DilleniaUPC"/>
                <w:w w:val="90"/>
                <w:sz w:val="34"/>
                <w:szCs w:val="34"/>
                <w:cs/>
              </w:rPr>
            </w:pPr>
            <w:r w:rsidRPr="003D46E0">
              <w:rPr>
                <w:rFonts w:ascii="Angsana New" w:hAnsi="Angsana New" w:cs="DilleniaUPC"/>
                <w:noProof/>
                <w:w w:val="90"/>
                <w:sz w:val="34"/>
                <w:szCs w:val="3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KRUT_resize" style="width:74.25pt;height:82.5pt;visibility:visible">
                  <v:imagedata r:id="rId4" o:title=""/>
                </v:shape>
              </w:pict>
            </w:r>
          </w:p>
        </w:tc>
        <w:tc>
          <w:tcPr>
            <w:tcW w:w="3960" w:type="dxa"/>
            <w:vAlign w:val="bottom"/>
          </w:tcPr>
          <w:p w:rsidR="006150B5" w:rsidRPr="002D4CD5" w:rsidRDefault="006150B5" w:rsidP="00F81DA4">
            <w:pPr>
              <w:pStyle w:val="PlainText"/>
              <w:tabs>
                <w:tab w:val="left" w:pos="1800"/>
                <w:tab w:val="left" w:pos="2250"/>
                <w:tab w:val="left" w:pos="2880"/>
              </w:tabs>
              <w:jc w:val="right"/>
              <w:rPr>
                <w:rFonts w:ascii="Angsana New" w:hAnsi="Angsana New" w:cs="DilleniaUPC"/>
                <w:w w:val="90"/>
                <w:sz w:val="34"/>
                <w:szCs w:val="34"/>
                <w:cs/>
              </w:rPr>
            </w:pPr>
            <w:r w:rsidRPr="002D4CD5">
              <w:rPr>
                <w:rFonts w:ascii="Angsana New" w:hAnsi="Angsana New" w:cs="DilleniaUPC"/>
                <w:w w:val="90"/>
                <w:sz w:val="34"/>
                <w:szCs w:val="34"/>
                <w:cs/>
              </w:rPr>
              <w:t>กระทรวงการคลัง</w:t>
            </w:r>
          </w:p>
        </w:tc>
      </w:tr>
    </w:tbl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4320"/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4320"/>
        <w:jc w:val="thaiDistribute"/>
        <w:rPr>
          <w:rFonts w:ascii="Angsana New" w:hAnsi="Angsana New" w:cs="DilleniaUPC"/>
          <w:w w:val="90"/>
          <w:sz w:val="34"/>
          <w:szCs w:val="34"/>
        </w:rPr>
      </w:pPr>
      <w:r>
        <w:rPr>
          <w:rFonts w:ascii="Angsana New" w:hAnsi="Angsana New" w:cs="DilleniaUPC"/>
          <w:w w:val="90"/>
          <w:sz w:val="34"/>
          <w:szCs w:val="34"/>
          <w:cs/>
        </w:rPr>
        <w:t xml:space="preserve">25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พฤษภาคม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>
        <w:rPr>
          <w:rFonts w:ascii="Angsana New" w:hAnsi="Angsana New" w:cs="DilleniaUPC"/>
          <w:w w:val="90"/>
          <w:sz w:val="34"/>
          <w:szCs w:val="34"/>
          <w:cs/>
        </w:rPr>
        <w:t>2520</w:t>
      </w:r>
    </w:p>
    <w:p w:rsidR="006150B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jc w:val="thaiDistribute"/>
        <w:rPr>
          <w:rFonts w:ascii="Angsana New" w:hAnsi="Angsana New" w:cs="DilleniaUPC"/>
          <w:w w:val="90"/>
          <w:sz w:val="34"/>
          <w:szCs w:val="34"/>
          <w:cs/>
        </w:rPr>
      </w:pPr>
    </w:p>
    <w:p w:rsidR="006150B5" w:rsidRPr="002D4CD5" w:rsidRDefault="006150B5" w:rsidP="00A613DB">
      <w:pPr>
        <w:pStyle w:val="PlainText"/>
        <w:tabs>
          <w:tab w:val="left" w:pos="720"/>
          <w:tab w:val="left" w:pos="1890"/>
          <w:tab w:val="left" w:pos="2430"/>
          <w:tab w:val="left" w:pos="3060"/>
        </w:tabs>
        <w:jc w:val="thaiDistribute"/>
        <w:rPr>
          <w:rFonts w:ascii="Angsana New" w:hAnsi="Angsana New" w:cs="DilleniaUPC"/>
          <w:w w:val="90"/>
          <w:sz w:val="34"/>
          <w:szCs w:val="34"/>
        </w:rPr>
      </w:pPr>
      <w:r w:rsidRPr="002D4CD5">
        <w:rPr>
          <w:rFonts w:ascii="Angsana New" w:hAnsi="Angsana New" w:cs="DilleniaUPC"/>
          <w:w w:val="90"/>
          <w:sz w:val="34"/>
          <w:szCs w:val="34"/>
          <w:cs/>
        </w:rPr>
        <w:t>เรื่อง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ข้าราชการซึ่งมีกรณีหรือต้องหาว่ากระทำผิดอย่างร้ายแรงถึงแก่ความตายเสียก่อนได้รับการ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ab/>
        <w:t>วินิจฉัยเรื่องที่กระทำผิดวินัย</w:t>
      </w:r>
    </w:p>
    <w:p w:rsidR="006150B5" w:rsidRPr="002D4CD5" w:rsidRDefault="006150B5" w:rsidP="00A613DB">
      <w:pPr>
        <w:pStyle w:val="PlainText"/>
        <w:tabs>
          <w:tab w:val="left" w:pos="720"/>
          <w:tab w:val="left" w:pos="1890"/>
          <w:tab w:val="left" w:pos="2430"/>
          <w:tab w:val="left" w:pos="3060"/>
        </w:tabs>
        <w:jc w:val="thaiDistribute"/>
        <w:rPr>
          <w:rFonts w:ascii="Angsana New" w:hAnsi="Angsana New" w:cs="DilleniaUPC"/>
          <w:w w:val="90"/>
          <w:sz w:val="34"/>
          <w:szCs w:val="34"/>
        </w:rPr>
      </w:pPr>
      <w:r w:rsidRPr="002D4CD5">
        <w:rPr>
          <w:rFonts w:ascii="Angsana New" w:hAnsi="Angsana New" w:cs="DilleniaUPC"/>
          <w:w w:val="90"/>
          <w:sz w:val="34"/>
          <w:szCs w:val="34"/>
          <w:cs/>
        </w:rPr>
        <w:t>เรียน</w:t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อธิบดีกรมตำรวจ</w:t>
      </w: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  <w:cs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  <w:r w:rsidRPr="002D4CD5">
        <w:rPr>
          <w:rFonts w:ascii="Angsana New" w:hAnsi="Angsana New" w:cs="DilleniaUPC"/>
          <w:w w:val="90"/>
          <w:sz w:val="34"/>
          <w:szCs w:val="34"/>
          <w:cs/>
        </w:rPr>
        <w:t>เนื่องด้วยข้าราชการซึ่งมีกรณีหรือต้องหาว่ากระทำผิดวินัยอย่างร้ายแรง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>
        <w:rPr>
          <w:rFonts w:ascii="Angsana New" w:hAnsi="Angsana New" w:cs="DilleniaUPC"/>
          <w:w w:val="90"/>
          <w:sz w:val="34"/>
          <w:szCs w:val="34"/>
          <w:cs/>
        </w:rPr>
        <w:t>จนถูกตั้งกรรมการ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สอบสวนความผิดทางวินัย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และได้ถึงแก่ความตายในระหว่างการสอบสวนยังไม่เสร็จสิ้น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>
        <w:rPr>
          <w:rFonts w:ascii="Angsana New" w:hAnsi="Angsana New" w:cs="DilleniaUPC"/>
          <w:w w:val="90"/>
          <w:sz w:val="34"/>
          <w:szCs w:val="34"/>
          <w:cs/>
        </w:rPr>
        <w:t>ในทางปฏิบัติ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คณะกรรมการสอบสวนจะงดการสอบสวนเพราะข้าราชการผู้นั้นได้พ้นจากราชการ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เพราะถึงแก่ความตายไปแล้ว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แต่โดยที่ข้าราชการซึ่งมีกรณีหรือต้องหาว่ากระทำผิดวินัยอย่างร้ายแรง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ถ้าถึงแก่ความตายเสียก่อนได้รับการวินิจฉัยเรื่องที่กระทำผิดวินัย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นั้น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มาตรา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>
        <w:rPr>
          <w:rFonts w:ascii="Angsana New" w:hAnsi="Angsana New" w:cs="DilleniaUPC"/>
          <w:w w:val="90"/>
          <w:sz w:val="34"/>
          <w:szCs w:val="34"/>
          <w:cs/>
        </w:rPr>
        <w:t xml:space="preserve">53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แห่งพระราชบัญญัติบำเหน็จบำนาญข้าราชการ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พ</w:t>
      </w:r>
      <w:r w:rsidRPr="002D4CD5">
        <w:rPr>
          <w:rFonts w:ascii="Angsana New" w:hAnsi="Angsana New" w:cs="DilleniaUPC"/>
          <w:w w:val="90"/>
          <w:sz w:val="34"/>
          <w:szCs w:val="34"/>
        </w:rPr>
        <w:t>.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ศ</w:t>
      </w:r>
      <w:r w:rsidRPr="002D4CD5">
        <w:rPr>
          <w:rFonts w:ascii="Angsana New" w:hAnsi="Angsana New" w:cs="DilleniaUPC"/>
          <w:w w:val="90"/>
          <w:sz w:val="34"/>
          <w:szCs w:val="34"/>
        </w:rPr>
        <w:t>.</w:t>
      </w:r>
      <w:r>
        <w:rPr>
          <w:rFonts w:ascii="Angsana New" w:hAnsi="Angsana New" w:cs="DilleniaUPC"/>
          <w:w w:val="90"/>
          <w:sz w:val="34"/>
          <w:szCs w:val="34"/>
          <w:cs/>
        </w:rPr>
        <w:t xml:space="preserve">2494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บัญญัติให้กระทรวงเจ้าสังกัดเป็นผู้พิจารณาวินิจฉัยว่า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ถ้าข้าราชการผู้นั้นไม่ถึงแก่ความตายเสียก่อนจะต้องได้รับโทษถึงไล่ออกหรือปลดออกหรือไม่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ถ้าเห็นว่าข้าราชการผู้นั้นจะต้องถูกลงโทษถึงไล่ออกหรือปลดออกทายาทไม่มีสิทธิ์ได้รับบำเหน็จตกทอด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เพื่ออนุวัติตามนัยมาตรา</w:t>
      </w:r>
      <w:r>
        <w:rPr>
          <w:rFonts w:ascii="Angsana New" w:hAnsi="Angsana New" w:cs="DilleniaUPC"/>
          <w:w w:val="90"/>
          <w:sz w:val="34"/>
          <w:szCs w:val="34"/>
        </w:rPr>
        <w:t xml:space="preserve"> </w:t>
      </w:r>
      <w:r>
        <w:rPr>
          <w:rFonts w:ascii="Angsana New" w:hAnsi="Angsana New" w:cs="DilleniaUPC"/>
          <w:w w:val="90"/>
          <w:sz w:val="34"/>
          <w:szCs w:val="34"/>
          <w:cs/>
        </w:rPr>
        <w:t xml:space="preserve">53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แห่งพระราชบัญญัติบำเหน็จบำนาญข้าราชการ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พ</w:t>
      </w:r>
      <w:r w:rsidRPr="002D4CD5">
        <w:rPr>
          <w:rFonts w:ascii="Angsana New" w:hAnsi="Angsana New" w:cs="DilleniaUPC"/>
          <w:w w:val="90"/>
          <w:sz w:val="34"/>
          <w:szCs w:val="34"/>
        </w:rPr>
        <w:t>.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ศ</w:t>
      </w:r>
      <w:r w:rsidRPr="002D4CD5">
        <w:rPr>
          <w:rFonts w:ascii="Angsana New" w:hAnsi="Angsana New" w:cs="DilleniaUPC"/>
          <w:w w:val="90"/>
          <w:sz w:val="34"/>
          <w:szCs w:val="34"/>
        </w:rPr>
        <w:t>.</w:t>
      </w:r>
      <w:r>
        <w:rPr>
          <w:rFonts w:ascii="Angsana New" w:hAnsi="Angsana New" w:cs="DilleniaUPC"/>
          <w:w w:val="90"/>
          <w:sz w:val="34"/>
          <w:szCs w:val="34"/>
          <w:cs/>
        </w:rPr>
        <w:t>2494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กระทรวงการคลังใคร่ขอความร่วมมือให้ส่วนราชการเจ้าสังกัดของข้าราชการซึ่งถูกตั้งกรรมการสอบสวนปฏิบัติดังนี้</w:t>
      </w: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  <w:r>
        <w:rPr>
          <w:rFonts w:ascii="Angsana New" w:hAnsi="Angsana New" w:cs="DilleniaUPC"/>
          <w:w w:val="90"/>
          <w:sz w:val="34"/>
          <w:szCs w:val="34"/>
          <w:cs/>
        </w:rPr>
        <w:t>1.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ab/>
        <w:t>ในกรณีข้าราชการถูกตั้งกรรมการสอบสวนความผิดทางวินัย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ต่อมาได้ถึงแก่ความตายเสียก่อนการสอบสวนพิจารณาทางวินัยเสร็จสิ้น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ให้ผู้สั่งตั้งกรรมการสอบสวนความผิดทางวินัยสั่งให้คณะกรรมการสอบสวนทำการสอบสวนต่อไปและสรุปความเห็นเพื่อประกอบการพิจารณาวินิจฉัยของกระทรวงเจ้าสังกัดตามมาตรา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>
        <w:rPr>
          <w:rFonts w:ascii="Angsana New" w:hAnsi="Angsana New" w:cs="DilleniaUPC"/>
          <w:w w:val="90"/>
          <w:sz w:val="34"/>
          <w:szCs w:val="34"/>
          <w:cs/>
        </w:rPr>
        <w:t xml:space="preserve">53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แห่งพระราชบัญญัติบำเหน็จบำนาญข้าราชการ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พ</w:t>
      </w:r>
      <w:r w:rsidRPr="002D4CD5">
        <w:rPr>
          <w:rFonts w:ascii="Angsana New" w:hAnsi="Angsana New" w:cs="DilleniaUPC"/>
          <w:w w:val="90"/>
          <w:sz w:val="34"/>
          <w:szCs w:val="34"/>
        </w:rPr>
        <w:t>.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ศ</w:t>
      </w:r>
      <w:r w:rsidRPr="002D4CD5">
        <w:rPr>
          <w:rFonts w:ascii="Angsana New" w:hAnsi="Angsana New" w:cs="DilleniaUPC"/>
          <w:w w:val="90"/>
          <w:sz w:val="34"/>
          <w:szCs w:val="34"/>
        </w:rPr>
        <w:t>.</w:t>
      </w:r>
      <w:r>
        <w:rPr>
          <w:rFonts w:ascii="Angsana New" w:hAnsi="Angsana New" w:cs="DilleniaUPC"/>
          <w:w w:val="90"/>
          <w:sz w:val="34"/>
          <w:szCs w:val="34"/>
          <w:cs/>
        </w:rPr>
        <w:t>2494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โดยเร็วที่สุดเพื่อบรรเทาความเดือดร้อนของทายาทที่มีสิทธิได้รับบำเหน็จตกทอด</w:t>
      </w: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1080" w:hanging="1080"/>
        <w:jc w:val="thaiDistribute"/>
        <w:rPr>
          <w:rFonts w:cs="DilleniaUPC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  <w:r>
        <w:rPr>
          <w:rFonts w:ascii="Angsana New" w:hAnsi="Angsana New" w:cs="DilleniaUPC"/>
          <w:w w:val="90"/>
          <w:sz w:val="34"/>
          <w:szCs w:val="34"/>
          <w:cs/>
        </w:rPr>
        <w:t>2.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ab/>
        <w:t>ให้เจ้าสังกัดรีบแจ้งการถึงแก่กรรมของข้าราชการในกรณีดังกล่าวตามข้อ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>
        <w:rPr>
          <w:rFonts w:ascii="Angsana New" w:hAnsi="Angsana New" w:cs="DilleniaUPC"/>
          <w:w w:val="90"/>
          <w:sz w:val="34"/>
          <w:szCs w:val="34"/>
          <w:cs/>
        </w:rPr>
        <w:t xml:space="preserve">1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ให้กรมบัญชีกลางในโอกาสแรกพร้อมทั้งส่งสำเนาคำสั่งตั้งกรรมการสอบสวนความผิดทางวินัย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และคำสั่งให้ทำการสอบสวนต่อไปตามนัยแห่งข้อ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>
        <w:rPr>
          <w:rFonts w:ascii="Angsana New" w:hAnsi="Angsana New" w:cs="DilleniaUPC"/>
          <w:w w:val="90"/>
          <w:sz w:val="34"/>
          <w:szCs w:val="34"/>
          <w:cs/>
        </w:rPr>
        <w:t xml:space="preserve">1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ให้ด้วย</w:t>
      </w:r>
    </w:p>
    <w:p w:rsidR="006150B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  <w:r>
        <w:rPr>
          <w:rFonts w:ascii="Angsana New" w:hAnsi="Angsana New" w:cs="DilleniaUPC"/>
          <w:w w:val="90"/>
          <w:sz w:val="34"/>
          <w:szCs w:val="34"/>
          <w:cs/>
        </w:rPr>
        <w:t>3.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ab/>
        <w:t>เมื่อคณะกรรมการสอบสวนความผิดทางวินัยได้ทำการสอบสวนต่อไป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และสรุปความเห็นประการใด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ขอให้ส่งคำแถลงผลการสอบสวนของคณะกรรมการดังกล่าวให้กรมบัญชีกลาง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>
        <w:rPr>
          <w:rFonts w:ascii="Angsana New" w:hAnsi="Angsana New" w:cs="DilleniaUPC"/>
          <w:w w:val="90"/>
          <w:sz w:val="34"/>
          <w:szCs w:val="34"/>
          <w:cs/>
        </w:rPr>
        <w:t xml:space="preserve">1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ชุด</w:t>
      </w:r>
      <w:r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ภายใน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>
        <w:rPr>
          <w:rFonts w:ascii="Angsana New" w:hAnsi="Angsana New" w:cs="DilleniaUPC"/>
          <w:w w:val="90"/>
          <w:sz w:val="34"/>
          <w:szCs w:val="34"/>
          <w:cs/>
        </w:rPr>
        <w:t xml:space="preserve"> 15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วัน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นับแต่วันที่คณะกรรมการสอบสวนเสร็จ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ทั้งนี้เพื่อเป็นหลักฐานในการพิจารณาสั่งจ่ายบำเหน็จตกทอดให้หรือไม่ต่อไป</w:t>
      </w:r>
    </w:p>
    <w:p w:rsidR="006150B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  <w:cs/>
        </w:rPr>
      </w:pPr>
      <w:r w:rsidRPr="002D4CD5">
        <w:rPr>
          <w:rFonts w:ascii="Angsana New" w:hAnsi="Angsana New" w:cs="DilleniaUPC"/>
          <w:w w:val="90"/>
          <w:sz w:val="34"/>
          <w:szCs w:val="34"/>
          <w:cs/>
        </w:rPr>
        <w:t>กระทรวงการคลังหวังว่าคงจะได้รับความร่วมมือในกรณีดังกล่าวด้วยดี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จึงขอถือโอกาสขอบคุณล่วงหน้ามา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ณ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โอกาสนี้ด้วย</w:t>
      </w: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  <w:cs/>
        </w:rPr>
      </w:pPr>
    </w:p>
    <w:p w:rsidR="006150B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ab/>
        <w:t xml:space="preserve">             ขอแสดงความนับถืออย่างสูง</w:t>
      </w: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  <w:r w:rsidRPr="002D4CD5">
        <w:rPr>
          <w:rFonts w:ascii="Angsana New" w:hAnsi="Angsana New" w:cs="DilleniaUPC"/>
          <w:w w:val="90"/>
          <w:sz w:val="34"/>
          <w:szCs w:val="34"/>
          <w:cs/>
        </w:rPr>
        <w:tab/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 xml:space="preserve">     </w:t>
      </w:r>
      <w:r w:rsidRPr="002D4CD5">
        <w:rPr>
          <w:rFonts w:ascii="Angsana New" w:hAnsi="Angsana New" w:cs="DilleniaUPC"/>
          <w:w w:val="90"/>
          <w:sz w:val="34"/>
          <w:szCs w:val="34"/>
        </w:rPr>
        <w:t>(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ลงชื่อ</w:t>
      </w:r>
      <w:r w:rsidRPr="002D4CD5">
        <w:rPr>
          <w:rFonts w:ascii="Angsana New" w:hAnsi="Angsana New" w:cs="DilleniaUPC"/>
          <w:w w:val="90"/>
          <w:sz w:val="34"/>
          <w:szCs w:val="34"/>
        </w:rPr>
        <w:t>)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 xml:space="preserve">     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อำนวย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วีรวรรณ</w:t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</w:rPr>
        <w:tab/>
        <w:t xml:space="preserve">                 </w:t>
      </w:r>
      <w:r>
        <w:rPr>
          <w:rFonts w:ascii="Angsana New" w:hAnsi="Angsana New" w:cs="DilleniaUPC"/>
          <w:w w:val="90"/>
          <w:sz w:val="34"/>
          <w:szCs w:val="34"/>
        </w:rPr>
        <w:t xml:space="preserve">       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(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นายอำนวย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วีรวรรณ</w:t>
      </w:r>
      <w:r w:rsidRPr="002D4CD5">
        <w:rPr>
          <w:rFonts w:ascii="Angsana New" w:hAnsi="Angsana New" w:cs="DilleniaUPC"/>
          <w:w w:val="90"/>
          <w:sz w:val="34"/>
          <w:szCs w:val="34"/>
        </w:rPr>
        <w:t>)</w:t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</w:rPr>
        <w:tab/>
      </w:r>
      <w:r w:rsidRPr="002D4CD5">
        <w:rPr>
          <w:rFonts w:ascii="Angsana New" w:hAnsi="Angsana New" w:cs="DilleniaUPC"/>
          <w:w w:val="90"/>
          <w:sz w:val="34"/>
          <w:szCs w:val="34"/>
        </w:rPr>
        <w:tab/>
        <w:t xml:space="preserve">  </w:t>
      </w:r>
      <w:r>
        <w:rPr>
          <w:rFonts w:ascii="Angsana New" w:hAnsi="Angsana New" w:cs="DilleniaUPC"/>
          <w:w w:val="90"/>
          <w:sz w:val="34"/>
          <w:szCs w:val="34"/>
        </w:rPr>
        <w:t xml:space="preserve">      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   </w:t>
      </w:r>
      <w:r w:rsidRPr="002D4CD5">
        <w:rPr>
          <w:rFonts w:ascii="Angsana New" w:hAnsi="Angsana New" w:cs="DilleniaUPC"/>
          <w:w w:val="90"/>
          <w:sz w:val="34"/>
          <w:szCs w:val="34"/>
          <w:cs/>
        </w:rPr>
        <w:t>ปลัดกระทรวงการคลัง</w:t>
      </w: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jc w:val="thaiDistribute"/>
        <w:rPr>
          <w:rFonts w:ascii="Angsana New" w:hAnsi="Angsana New" w:cs="DilleniaUPC"/>
          <w:w w:val="90"/>
          <w:sz w:val="34"/>
          <w:szCs w:val="34"/>
        </w:rPr>
      </w:pPr>
      <w:r w:rsidRPr="002D4CD5">
        <w:rPr>
          <w:rFonts w:ascii="Angsana New" w:hAnsi="Angsana New" w:cs="DilleniaUPC"/>
          <w:w w:val="90"/>
          <w:sz w:val="34"/>
          <w:szCs w:val="34"/>
          <w:cs/>
        </w:rPr>
        <w:t>กองบำเหน็จบำนาญ</w:t>
      </w: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ind w:firstLine="1440"/>
        <w:jc w:val="thaiDistribute"/>
        <w:rPr>
          <w:rFonts w:ascii="Angsana New" w:hAnsi="Angsana New" w:cs="DilleniaUPC"/>
          <w:w w:val="90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Default="006150B5" w:rsidP="00A613DB">
      <w:pPr>
        <w:ind w:left="2160" w:hanging="2160"/>
        <w:jc w:val="thaiDistribute"/>
        <w:rPr>
          <w:rFonts w:cs="DilleniaUPC"/>
          <w:sz w:val="34"/>
          <w:szCs w:val="34"/>
        </w:rPr>
      </w:pP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jc w:val="thaiDistribute"/>
        <w:rPr>
          <w:rFonts w:ascii="Angsana New" w:hAnsi="Angsana New" w:cs="DilleniaUPC"/>
          <w:w w:val="90"/>
          <w:sz w:val="34"/>
          <w:szCs w:val="34"/>
        </w:rPr>
      </w:pPr>
      <w:r w:rsidRPr="002D4CD5">
        <w:rPr>
          <w:rFonts w:ascii="Angsana New" w:hAnsi="Angsana New" w:cs="DilleniaUPC"/>
          <w:w w:val="90"/>
          <w:sz w:val="34"/>
          <w:szCs w:val="34"/>
          <w:cs/>
        </w:rPr>
        <w:t>กรมบัญชีกลาง</w:t>
      </w:r>
    </w:p>
    <w:p w:rsidR="006150B5" w:rsidRPr="002D4CD5" w:rsidRDefault="006150B5" w:rsidP="00A613DB">
      <w:pPr>
        <w:pStyle w:val="PlainText"/>
        <w:tabs>
          <w:tab w:val="left" w:pos="1890"/>
          <w:tab w:val="left" w:pos="2430"/>
          <w:tab w:val="left" w:pos="3060"/>
        </w:tabs>
        <w:jc w:val="thaiDistribute"/>
        <w:rPr>
          <w:rFonts w:ascii="Angsana New" w:hAnsi="Angsana New" w:cs="DilleniaUPC"/>
          <w:w w:val="90"/>
          <w:sz w:val="34"/>
          <w:szCs w:val="34"/>
        </w:rPr>
      </w:pPr>
      <w:r w:rsidRPr="002D4CD5">
        <w:rPr>
          <w:rFonts w:ascii="Angsana New" w:hAnsi="Angsana New" w:cs="DilleniaUPC"/>
          <w:w w:val="90"/>
          <w:sz w:val="34"/>
          <w:szCs w:val="34"/>
          <w:cs/>
        </w:rPr>
        <w:t>โทร</w:t>
      </w:r>
      <w:r w:rsidRPr="002D4CD5">
        <w:rPr>
          <w:rFonts w:ascii="Angsana New" w:hAnsi="Angsana New" w:cs="DilleniaUPC"/>
          <w:w w:val="90"/>
          <w:sz w:val="34"/>
          <w:szCs w:val="34"/>
        </w:rPr>
        <w:t xml:space="preserve">. </w:t>
      </w:r>
      <w:r>
        <w:rPr>
          <w:rFonts w:ascii="Angsana New" w:hAnsi="Angsana New" w:cs="DilleniaUPC"/>
          <w:w w:val="90"/>
          <w:sz w:val="34"/>
          <w:szCs w:val="34"/>
          <w:cs/>
        </w:rPr>
        <w:t>2215851</w:t>
      </w:r>
    </w:p>
    <w:p w:rsidR="006150B5" w:rsidRPr="002D4CD5" w:rsidRDefault="006150B5" w:rsidP="00A613DB">
      <w:pPr>
        <w:rPr>
          <w:rFonts w:cs="DilleniaUPC"/>
          <w:sz w:val="34"/>
          <w:szCs w:val="34"/>
          <w:cs/>
        </w:rPr>
      </w:pPr>
    </w:p>
    <w:p w:rsidR="006150B5" w:rsidRPr="002D4CD5" w:rsidRDefault="006150B5" w:rsidP="00A613DB">
      <w:pPr>
        <w:rPr>
          <w:rFonts w:cs="DilleniaUPC"/>
          <w:sz w:val="34"/>
          <w:szCs w:val="34"/>
        </w:rPr>
      </w:pPr>
    </w:p>
    <w:p w:rsidR="006150B5" w:rsidRPr="002D4CD5" w:rsidRDefault="006150B5" w:rsidP="00A613DB">
      <w:pPr>
        <w:ind w:left="1080" w:hanging="1080"/>
        <w:jc w:val="thaiDistribute"/>
        <w:rPr>
          <w:rFonts w:cs="DilleniaUPC"/>
          <w:sz w:val="34"/>
          <w:szCs w:val="34"/>
          <w:cs/>
        </w:rPr>
      </w:pPr>
    </w:p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/>
    <w:p w:rsidR="006150B5" w:rsidRDefault="006150B5" w:rsidP="00D84DF8">
      <w:pPr>
        <w:rPr>
          <w:rFonts w:ascii="TH SarabunPSK" w:hAnsi="TH SarabunPSK" w:cs="TH SarabunPSK"/>
          <w:sz w:val="34"/>
          <w:szCs w:val="34"/>
        </w:rPr>
      </w:pPr>
      <w:r w:rsidRPr="003D46E0">
        <w:rPr>
          <w:rFonts w:cs="DilleniaUPC"/>
          <w:noProof/>
          <w:sz w:val="36"/>
          <w:szCs w:val="36"/>
        </w:rPr>
        <w:pict>
          <v:shape id="_x0000_i1026" type="#_x0000_t75" style="width:44.25pt;height:49.5pt;visibility:visible">
            <v:imagedata r:id="rId5" o:title=""/>
          </v:shape>
        </w:pict>
      </w:r>
      <w:r>
        <w:rPr>
          <w:rFonts w:cs="DilleniaUPC"/>
          <w:sz w:val="36"/>
          <w:szCs w:val="36"/>
        </w:rPr>
        <w:tab/>
      </w:r>
      <w:r>
        <w:rPr>
          <w:rFonts w:cs="DilleniaUPC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/>
          <w:sz w:val="48"/>
          <w:szCs w:val="48"/>
        </w:rPr>
        <w:t xml:space="preserve">  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>
        <w:rPr>
          <w:rFonts w:cs="TH SarabunPSK"/>
          <w:b/>
          <w:bCs/>
          <w:sz w:val="44"/>
          <w:szCs w:val="44"/>
          <w:cs/>
        </w:rPr>
        <w:t xml:space="preserve">  </w:t>
      </w:r>
      <w:r>
        <w:rPr>
          <w:rFonts w:cs="TH SarabunPSK"/>
          <w:b/>
          <w:bCs/>
          <w:sz w:val="58"/>
          <w:szCs w:val="58"/>
          <w:cs/>
        </w:rPr>
        <w:t>บันทึกข้อความ</w:t>
      </w:r>
    </w:p>
    <w:p w:rsidR="006150B5" w:rsidRDefault="006150B5" w:rsidP="00D84DF8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hAnsi="TH SarabunPSK" w:cs="TH SarabunPSK"/>
        </w:rPr>
        <w:t xml:space="preserve">     </w:t>
      </w:r>
      <w:r>
        <w:rPr>
          <w:rFonts w:cs="TH SarabunPSK"/>
          <w:sz w:val="34"/>
          <w:szCs w:val="34"/>
          <w:cs/>
        </w:rPr>
        <w:t>สำนักงานตำรวจแห่งชาติ         โทร</w:t>
      </w:r>
      <w:r>
        <w:rPr>
          <w:rFonts w:cs="TH SarabunPSK"/>
          <w:b/>
          <w:bCs/>
          <w:sz w:val="34"/>
          <w:szCs w:val="34"/>
          <w:cs/>
        </w:rPr>
        <w:t xml:space="preserve">  </w:t>
      </w:r>
      <w:r>
        <w:rPr>
          <w:rFonts w:cs="TH SarabunPSK"/>
          <w:sz w:val="34"/>
          <w:szCs w:val="34"/>
          <w:cs/>
        </w:rPr>
        <w:t>๐ ๒๒๐๕ ๒๓๗๐</w:t>
      </w:r>
      <w:r>
        <w:rPr>
          <w:rFonts w:cs="TH SarabunPSK"/>
          <w:b/>
          <w:bCs/>
          <w:cs/>
        </w:rPr>
        <w:t xml:space="preserve">       </w:t>
      </w:r>
    </w:p>
    <w:p w:rsidR="006150B5" w:rsidRDefault="006150B5" w:rsidP="00D84DF8">
      <w:pPr>
        <w:rPr>
          <w:rFonts w:cs="TH SarabunPSK"/>
          <w:cs/>
        </w:rPr>
      </w:pPr>
      <w:r>
        <w:rPr>
          <w:rFonts w:cs="TH SarabunPSK"/>
          <w:b/>
          <w:bCs/>
          <w:sz w:val="38"/>
          <w:szCs w:val="38"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cs="TH SarabunPSK"/>
          <w:sz w:val="34"/>
          <w:szCs w:val="34"/>
          <w:cs/>
        </w:rPr>
        <w:t>๐๐๐๖.๒/ว</w:t>
      </w:r>
      <w:r w:rsidRPr="00855827">
        <w:rPr>
          <w:rFonts w:cs="TH SarabunPSK"/>
          <w:sz w:val="36"/>
          <w:szCs w:val="36"/>
          <w:cs/>
        </w:rPr>
        <w:t xml:space="preserve"> ๐๒๓</w:t>
      </w:r>
      <w:r>
        <w:rPr>
          <w:rFonts w:ascii="TH SarabunPSK" w:hAnsi="TH SarabunPSK" w:cs="TH SarabunPSK"/>
        </w:rPr>
        <w:t xml:space="preserve">       </w:t>
      </w:r>
      <w:r>
        <w:rPr>
          <w:rFonts w:cs="TH SarabunPSK"/>
          <w:cs/>
        </w:rPr>
        <w:tab/>
        <w:t xml:space="preserve">                 </w:t>
      </w:r>
      <w:r>
        <w:rPr>
          <w:rFonts w:cs="TH SarabunPSK"/>
          <w:b/>
          <w:bCs/>
          <w:sz w:val="38"/>
          <w:szCs w:val="38"/>
          <w:cs/>
        </w:rPr>
        <w:t xml:space="preserve">วันที่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cs="TH SarabunPSK"/>
          <w:cs/>
        </w:rPr>
        <w:t xml:space="preserve">     </w:t>
      </w:r>
      <w:r>
        <w:rPr>
          <w:rFonts w:cs="TH SarabunPSK"/>
          <w:sz w:val="34"/>
          <w:szCs w:val="34"/>
          <w:cs/>
        </w:rPr>
        <w:t xml:space="preserve"> ๒๒   กุมภาพันธ์   ๒๕๕๕ </w:t>
      </w:r>
      <w:r>
        <w:rPr>
          <w:rFonts w:cs="TH SarabunPSK"/>
          <w:cs/>
        </w:rPr>
        <w:t xml:space="preserve">       </w:t>
      </w:r>
    </w:p>
    <w:p w:rsidR="006150B5" w:rsidRPr="00DD189A" w:rsidRDefault="006150B5" w:rsidP="00D84DF8">
      <w:pPr>
        <w:ind w:left="567" w:hanging="567"/>
        <w:jc w:val="thaiDistribute"/>
        <w:rPr>
          <w:rFonts w:cs="TH SarabunPSK"/>
          <w:sz w:val="34"/>
          <w:szCs w:val="34"/>
          <w:cs/>
        </w:rPr>
      </w:pPr>
      <w:r>
        <w:rPr>
          <w:rFonts w:cs="TH SarabunPSK"/>
          <w:b/>
          <w:bCs/>
          <w:sz w:val="38"/>
          <w:szCs w:val="38"/>
          <w:cs/>
        </w:rPr>
        <w:t>เรื่อง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cs="TH SarabunPSK"/>
          <w:sz w:val="34"/>
          <w:szCs w:val="34"/>
          <w:cs/>
        </w:rPr>
        <w:t>กำชับการปฏิบัติของข้าราชการตำรวจ</w:t>
      </w:r>
    </w:p>
    <w:p w:rsidR="006150B5" w:rsidRDefault="006150B5" w:rsidP="00D84DF8">
      <w:pPr>
        <w:ind w:left="567" w:hanging="567"/>
        <w:jc w:val="thaiDistribute"/>
        <w:rPr>
          <w:rFonts w:ascii="TH SarabunPSK" w:hAnsi="TH SarabunPSK" w:cs="TH SarabunPSK"/>
          <w:sz w:val="34"/>
          <w:szCs w:val="34"/>
          <w:cs/>
        </w:rPr>
      </w:pPr>
    </w:p>
    <w:p w:rsidR="006150B5" w:rsidRDefault="006150B5" w:rsidP="00D84DF8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>ผบช. หรือผู้ดำรงตำแหน่งเทียบเท่า</w:t>
      </w:r>
    </w:p>
    <w:p w:rsidR="006150B5" w:rsidRDefault="006150B5" w:rsidP="00D84DF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ผบก. ในสังกัด สง.ผบ.ตร หรือผู้ดำรงตำแหน่งเทียบเท่า   </w:t>
      </w:r>
    </w:p>
    <w:p w:rsidR="006150B5" w:rsidRDefault="006150B5" w:rsidP="00D84DF8">
      <w:pPr>
        <w:ind w:left="720"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150B5" w:rsidRDefault="006150B5" w:rsidP="00D84DF8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 xml:space="preserve"> ด้วย  ก.ตร. ในการประชุมครั้งที่ ๙/๒๕๕๔ เมื่อวันที่  ๒๘ ก.ย.๕๔ ได้พิจารณากรณีผู้บังคับบัญชาได้สั่งลงโทษไล่ข้าราชการตำรวจที่ถึงแก่ความตายไปแล้วออกจากราชการและมีมติว่าในกรณีที่ข้าราชการตำรวจที่ถูกกล่าวหาว่ากระทำผิดวินัยอย่างร้ายแรงจนถูกตั้งกรรมการสอนสวน  และถึงแก่ความตายในระหว่างการสอบสวนทางวินัย  กระบวนการดำเนินการทางวินัยต้องยุติลง ผู้บังคับบัญชาไม่สามารถที่จะสั่งลงโทษผู้ถูกกล่าวหานั้นได้อีก การที่ผู้บังคับบัญชามีคำสั่งลงโทษไล่ข้าราชการตำรวจผู้ถูกกล่าวหาออกจากราชการภายหลังจากที่ข้าราชการตำรวจผู้ถูกกล่าวหาถึงแก่ความตายไปแล้วจึงเป็นการดำเนินการที่ไม่ถูกต้อง  และที่จะถูกต้องผู้บังคับบัญชาต้องสั่งยุติเรื่อง</w:t>
      </w:r>
    </w:p>
    <w:p w:rsidR="006150B5" w:rsidRDefault="006150B5" w:rsidP="00D84DF8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150B5" w:rsidRDefault="006150B5" w:rsidP="00D84DF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>จึงแจ้งมาเพื่อทราบและถือเป็นแนวทางปฏิบัติต่อไป</w:t>
      </w:r>
    </w:p>
    <w:p w:rsidR="006150B5" w:rsidRDefault="006150B5" w:rsidP="00D84DF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</w:p>
    <w:p w:rsidR="006150B5" w:rsidRDefault="006150B5" w:rsidP="00D84DF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  <w:t>พล.ต.ท.เจตน์   มงคลหัตถี</w:t>
      </w:r>
    </w:p>
    <w:p w:rsidR="006150B5" w:rsidRDefault="006150B5" w:rsidP="00D84DF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  <w:t xml:space="preserve">        ( เจตน์   มงคลหัตถี )</w:t>
      </w:r>
    </w:p>
    <w:p w:rsidR="006150B5" w:rsidRDefault="006150B5" w:rsidP="00D84DF8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  <w:t xml:space="preserve">                ผู้ช่วย ผบ.ตร.ปรท.ผบ.ตร.</w:t>
      </w:r>
    </w:p>
    <w:p w:rsidR="006150B5" w:rsidRDefault="006150B5" w:rsidP="00D84DF8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6150B5" w:rsidRDefault="006150B5" w:rsidP="00D84DF8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6150B5" w:rsidRDefault="006150B5"/>
    <w:sectPr w:rsidR="006150B5" w:rsidSect="00547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EucrosiaUPC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EucrosiaUPCBold+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FA5"/>
    <w:rsid w:val="000156E8"/>
    <w:rsid w:val="0009525A"/>
    <w:rsid w:val="002D4CD5"/>
    <w:rsid w:val="00301103"/>
    <w:rsid w:val="00336D8C"/>
    <w:rsid w:val="003D46E0"/>
    <w:rsid w:val="00401771"/>
    <w:rsid w:val="00512F53"/>
    <w:rsid w:val="00547F3A"/>
    <w:rsid w:val="006150B5"/>
    <w:rsid w:val="00782AD7"/>
    <w:rsid w:val="00855827"/>
    <w:rsid w:val="00890BB5"/>
    <w:rsid w:val="008951BB"/>
    <w:rsid w:val="009531B3"/>
    <w:rsid w:val="009E58DA"/>
    <w:rsid w:val="00A128E8"/>
    <w:rsid w:val="00A613DB"/>
    <w:rsid w:val="00A87776"/>
    <w:rsid w:val="00C218DD"/>
    <w:rsid w:val="00C24FA5"/>
    <w:rsid w:val="00CB2091"/>
    <w:rsid w:val="00D4626C"/>
    <w:rsid w:val="00D84DF8"/>
    <w:rsid w:val="00DD189A"/>
    <w:rsid w:val="00DE3B2C"/>
    <w:rsid w:val="00DF359E"/>
    <w:rsid w:val="00E83A25"/>
    <w:rsid w:val="00F81DA4"/>
    <w:rsid w:val="00FB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24FA5"/>
    <w:rPr>
      <w:rFonts w:ascii="Cordia New" w:hAnsi="Cordi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091"/>
    <w:pPr>
      <w:spacing w:before="480" w:line="276" w:lineRule="auto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091"/>
    <w:pPr>
      <w:spacing w:before="200" w:line="271" w:lineRule="auto"/>
      <w:outlineLvl w:val="1"/>
    </w:pPr>
    <w:rPr>
      <w:rFonts w:ascii="Cambria" w:hAnsi="Cambria"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091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091"/>
    <w:pPr>
      <w:spacing w:line="271" w:lineRule="auto"/>
      <w:outlineLvl w:val="3"/>
    </w:pPr>
    <w:rPr>
      <w:rFonts w:ascii="Cambria" w:hAnsi="Cambria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2091"/>
    <w:pPr>
      <w:spacing w:line="271" w:lineRule="auto"/>
      <w:outlineLvl w:val="4"/>
    </w:pPr>
    <w:rPr>
      <w:rFonts w:ascii="Cambria" w:hAnsi="Cambria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2091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2091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2091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2091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091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2091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2091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2091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2091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209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209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2091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2091"/>
    <w:rPr>
      <w:rFonts w:cs="Times New Roman"/>
      <w:b/>
      <w:bCs/>
      <w:i/>
      <w:iCs/>
      <w:color w:val="7F7F7F"/>
      <w:sz w:val="18"/>
      <w:szCs w:val="18"/>
    </w:rPr>
  </w:style>
  <w:style w:type="paragraph" w:styleId="ListParagraph">
    <w:name w:val="List Paragraph"/>
    <w:basedOn w:val="Normal"/>
    <w:uiPriority w:val="99"/>
    <w:qFormat/>
    <w:rsid w:val="00CB209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CB2091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B2091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091"/>
    <w:pPr>
      <w:spacing w:after="200" w:line="276" w:lineRule="auto"/>
    </w:pPr>
    <w:rPr>
      <w:rFonts w:ascii="Cambria" w:hAnsi="Cambria"/>
      <w:i/>
      <w:iCs/>
      <w:smallCaps/>
      <w:spacing w:val="1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091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CB209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B2091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B2091"/>
    <w:rPr>
      <w:rFonts w:ascii="Cambria" w:hAnsi="Cambria"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CB2091"/>
    <w:pPr>
      <w:spacing w:after="200" w:line="276" w:lineRule="auto"/>
    </w:pPr>
    <w:rPr>
      <w:rFonts w:ascii="Cambria" w:hAnsi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CB2091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209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B209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CB2091"/>
    <w:rPr>
      <w:i/>
    </w:rPr>
  </w:style>
  <w:style w:type="character" w:styleId="IntenseEmphasis">
    <w:name w:val="Intense Emphasis"/>
    <w:basedOn w:val="DefaultParagraphFont"/>
    <w:uiPriority w:val="99"/>
    <w:qFormat/>
    <w:rsid w:val="00CB2091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B209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B2091"/>
    <w:rPr>
      <w:b/>
      <w:smallCaps/>
    </w:rPr>
  </w:style>
  <w:style w:type="character" w:styleId="BookTitle">
    <w:name w:val="Book Title"/>
    <w:basedOn w:val="DefaultParagraphFont"/>
    <w:uiPriority w:val="99"/>
    <w:qFormat/>
    <w:rsid w:val="00CB2091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B20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24FA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FA5"/>
    <w:rPr>
      <w:rFonts w:ascii="Tahoma" w:eastAsia="Times New Roman" w:hAnsi="Tahoma" w:cs="Angsana New"/>
      <w:sz w:val="20"/>
      <w:szCs w:val="20"/>
      <w:lang w:bidi="th-TH"/>
    </w:rPr>
  </w:style>
  <w:style w:type="paragraph" w:styleId="PlainText">
    <w:name w:val="Plain Text"/>
    <w:basedOn w:val="Normal"/>
    <w:link w:val="PlainTextChar"/>
    <w:uiPriority w:val="99"/>
    <w:rsid w:val="00A613DB"/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13DB"/>
    <w:rPr>
      <w:rFonts w:ascii="Cordia New" w:eastAsia="Times New Roman" w:hAnsi="Cordia New" w:cs="Angsana New"/>
      <w:sz w:val="28"/>
      <w:szCs w:val="28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803</Words>
  <Characters>4583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MoZarD</cp:lastModifiedBy>
  <cp:revision>8</cp:revision>
  <dcterms:created xsi:type="dcterms:W3CDTF">2014-08-29T04:14:00Z</dcterms:created>
  <dcterms:modified xsi:type="dcterms:W3CDTF">2014-09-10T08:24:00Z</dcterms:modified>
</cp:coreProperties>
</file>